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8" w:rsidRDefault="00711438" w:rsidP="00711438">
      <w:pPr>
        <w:spacing w:after="120" w:line="300" w:lineRule="atLeast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</w:p>
    <w:p w:rsidR="0061321F" w:rsidRPr="0061321F" w:rsidRDefault="0061321F" w:rsidP="0061321F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ПРИЛОЖЕНИЕ № 1</w:t>
      </w:r>
    </w:p>
    <w:p w:rsidR="0061321F" w:rsidRPr="0061321F" w:rsidRDefault="0061321F" w:rsidP="006132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24"/>
          <w:szCs w:val="24"/>
          <w:lang w:val="bg-BG"/>
        </w:rPr>
        <w:t>техническО задание</w:t>
      </w:r>
    </w:p>
    <w:p w:rsidR="00F4326E" w:rsidRPr="0061321F" w:rsidRDefault="00F4326E" w:rsidP="004A3F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24"/>
          <w:szCs w:val="24"/>
          <w:lang w:val="bg-BG"/>
        </w:rPr>
      </w:pPr>
    </w:p>
    <w:p w:rsidR="00F4326E" w:rsidRPr="00BD4162" w:rsidRDefault="004A3FCB" w:rsidP="004A3FCB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ЗА </w:t>
      </w:r>
      <w:r w:rsidR="00F4326E" w:rsidRPr="00BD4162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  <w:t>ОБЩЕСТВЕНА ПОРЪЧКА С ПРЕДМЕТ:</w:t>
      </w:r>
    </w:p>
    <w:p w:rsidR="0061321F" w:rsidRDefault="002C3EFC" w:rsidP="006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696A24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 w:rsidRPr="00696A24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 w:rsidRPr="00696A24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 w:rsidRPr="00696A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 w:rsidRPr="00696A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 w:rsidRPr="00696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2C3EFC" w:rsidRPr="0061321F" w:rsidRDefault="002C3EFC" w:rsidP="0061321F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FF0000"/>
          <w:sz w:val="24"/>
          <w:szCs w:val="24"/>
          <w:lang w:val="bg-BG" w:eastAsia="bg-BG"/>
        </w:rPr>
      </w:pP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Услугата следва да се предоставя</w:t>
      </w:r>
      <w:r w:rsidR="00B12C4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съгласно изброените по-долу изисквания:</w:t>
      </w: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Участникът да разполага с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MPLS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2/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3) (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Multiprotocol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Label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Switching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Layer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Layer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)) мрежа за пренос на данни на територията на цялата страна, която да разполага с алтернативни маршрути между всички опорни възли на Възложителя (представя се декларация).</w:t>
      </w: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="002C3E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Участникът трябва да предложи цифрова свързаност до всяка точка на Възложителя и абонатен интерфейс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Ethernet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10 Ва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еТ,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Fast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Ethernet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100 Ва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еТХ  с порт за конектор тип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RJ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45 или наличния при Възложителя.</w:t>
      </w: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="002C3E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Участникът трябва да предостави поддръжка на предоставяните на Възложителя услуги в режим 7х24х365. (представя се декларация).</w:t>
      </w: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="002C3E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Участникът трябва да осигури и оперира с комуникационни линии с посочените в настоящото Техническо задание параметри до крайните устройства на Възложителя.</w:t>
      </w: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="002C3E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Участникът трябва да притежава висока надеждност и сигурност в опорната част на мрежата и при осигуряване на резервираност на линиите в останалата част на мрежата. Цели се наличност на услугата (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uptime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&gt;= 99.7% (представя се декларация). </w:t>
      </w: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 w:rsidR="002C3E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Участникът трябва да предостави единна точка за контакт по въпроси, свързани с поддръжката на предоставената от него комуникационна свързаност - система за управление на инциденти от момента на регистрирането им. Системата следва да предоставя средства за регистриране, актуализиране, ескалация и решаване на</w:t>
      </w:r>
      <w:r w:rsidRPr="0061321F">
        <w:rPr>
          <w:rFonts w:ascii="Times New Roman" w:eastAsia="Times New Roman" w:hAnsi="Times New Roman" w:cs="Times New Roman"/>
          <w:sz w:val="28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инциденти до пълното им отстраняване, както и с възможност за автоматични нотификации, свързани с управлението на инцидентите. Единната точка за контакт трябва да е достъпна през Интернет и да позволява регистриране на заявки за инциденти по телефон и чрез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, достъпен за оторизирани представители на Възложителя (представя се декларация)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="002C3E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Arial CYR" w:hAnsi="Times New Roman" w:cs="Times New Roman"/>
          <w:sz w:val="24"/>
          <w:szCs w:val="24"/>
          <w:lang w:val="bg-BG" w:eastAsia="ar-SA"/>
        </w:rPr>
        <w:t>Възможност за автоматично превключване от основна към резервна свързаност без прекъсване и/или забавяне на услугата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1321F" w:rsidRPr="0061321F" w:rsidRDefault="0061321F" w:rsidP="00BB18BE">
      <w:pPr>
        <w:keepNext/>
        <w:numPr>
          <w:ilvl w:val="1"/>
          <w:numId w:val="0"/>
        </w:numPr>
        <w:tabs>
          <w:tab w:val="left" w:pos="1985"/>
        </w:tabs>
        <w:spacing w:after="0" w:line="240" w:lineRule="auto"/>
        <w:ind w:firstLine="720"/>
        <w:jc w:val="both"/>
        <w:outlineLvl w:val="1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lastRenderedPageBreak/>
        <w:t>8.</w:t>
      </w:r>
      <w:r w:rsidR="00BB18BE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У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частникът трябва да предостави и осигури споразумение за качеството на предоставяните услуги (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SLA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) със следните минимални параметри:</w:t>
      </w:r>
    </w:p>
    <w:p w:rsidR="0061321F" w:rsidRPr="0061321F" w:rsidRDefault="0061321F" w:rsidP="00BB18BE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Време за реакция при заявяване на повреда - до </w:t>
      </w:r>
      <w:r w:rsidRPr="00010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1056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час</w:t>
      </w:r>
      <w:r w:rsidRPr="006132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след получаване на заявка за проблем. Времето за реакция се отчита от момента на подаване до момента на потвърждаване регистрирането на повредата;</w:t>
      </w:r>
    </w:p>
    <w:p w:rsidR="0061321F" w:rsidRPr="0061321F" w:rsidRDefault="00BB18BE" w:rsidP="0061321F">
      <w:pPr>
        <w:shd w:val="clear" w:color="auto" w:fill="FFFFFF"/>
        <w:tabs>
          <w:tab w:val="left" w:pos="0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61321F"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- Време за отстраняване на технически проблеми в мрежата и възстан</w:t>
      </w:r>
      <w:r w:rsidR="006237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овяване на услугата </w:t>
      </w:r>
      <w:r w:rsidR="002C3E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</w:t>
      </w:r>
      <w:r w:rsidR="0061321F"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4 часа за София и до 8 </w:t>
      </w:r>
      <w:r w:rsidR="0061321F" w:rsidRPr="0001056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часа за </w:t>
      </w:r>
      <w:r w:rsidR="002C3EF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обектите извън района на София.</w:t>
      </w:r>
      <w:r w:rsidR="0061321F" w:rsidRPr="006132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61321F"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Времето за отстраняване на технически проблем в мрежата се отчита от момента на потвърждаване на приема</w:t>
      </w:r>
      <w:r w:rsidR="00B12C45">
        <w:rPr>
          <w:rFonts w:ascii="Times New Roman" w:eastAsia="Times New Roman" w:hAnsi="Times New Roman" w:cs="Times New Roman"/>
          <w:sz w:val="24"/>
          <w:szCs w:val="24"/>
          <w:lang w:val="bg-BG"/>
        </w:rPr>
        <w:t>нето му (т.е. след изтичане на в</w:t>
      </w:r>
      <w:r w:rsidR="0061321F"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ремето за реакция) до момента на възстановяване на нормалната работоспособност на комуникационната свързаност.</w:t>
      </w:r>
    </w:p>
    <w:p w:rsidR="0061321F" w:rsidRPr="002503F4" w:rsidRDefault="0061321F" w:rsidP="00BB18B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3F4"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r w:rsidR="002C3E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503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Доставчикът трябва да гарантира висока надежност на мрежата си и да поддържа следните минимални основни параметри: </w:t>
      </w:r>
    </w:p>
    <w:p w:rsidR="0061321F" w:rsidRPr="002503F4" w:rsidRDefault="0061321F" w:rsidP="0061321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503F4">
        <w:rPr>
          <w:rFonts w:ascii="Times New Roman" w:eastAsia="Times New Roman" w:hAnsi="Times New Roman" w:cs="Times New Roman"/>
          <w:noProof/>
          <w:sz w:val="24"/>
          <w:szCs w:val="24"/>
        </w:rPr>
        <w:t>надеждност („uptime”) &gt; = 99,7%;</w:t>
      </w:r>
    </w:p>
    <w:p w:rsidR="0061321F" w:rsidRPr="002503F4" w:rsidRDefault="0061321F" w:rsidP="0061321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503F4">
        <w:rPr>
          <w:rFonts w:ascii="Times New Roman" w:eastAsia="Times New Roman" w:hAnsi="Times New Roman" w:cs="Times New Roman"/>
          <w:noProof/>
          <w:sz w:val="24"/>
          <w:szCs w:val="24"/>
        </w:rPr>
        <w:t>загуба на пакети &lt; 2 %;</w:t>
      </w:r>
    </w:p>
    <w:p w:rsidR="0061321F" w:rsidRPr="002503F4" w:rsidRDefault="0061321F" w:rsidP="0061321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503F4">
        <w:rPr>
          <w:rFonts w:ascii="Times New Roman" w:eastAsia="Times New Roman" w:hAnsi="Times New Roman" w:cs="Times New Roman"/>
          <w:noProof/>
          <w:sz w:val="24"/>
          <w:szCs w:val="24"/>
        </w:rPr>
        <w:t>време-закъснения в двете посоки &lt; 100 ms</w:t>
      </w:r>
    </w:p>
    <w:p w:rsidR="0061321F" w:rsidRPr="002503F4" w:rsidRDefault="0061321F" w:rsidP="0061321F">
      <w:pPr>
        <w:numPr>
          <w:ilvl w:val="0"/>
          <w:numId w:val="21"/>
        </w:numPr>
        <w:tabs>
          <w:tab w:val="left" w:pos="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2503F4">
        <w:rPr>
          <w:rFonts w:ascii="Times New Roman" w:eastAsia="Times New Roman" w:hAnsi="Times New Roman" w:cs="Times New Roman"/>
          <w:noProof/>
          <w:sz w:val="24"/>
          <w:szCs w:val="24"/>
        </w:rPr>
        <w:t>jitter &lt; 40 ms</w:t>
      </w:r>
    </w:p>
    <w:p w:rsidR="0061321F" w:rsidRPr="002503F4" w:rsidRDefault="0061321F" w:rsidP="0061321F">
      <w:pPr>
        <w:numPr>
          <w:ilvl w:val="0"/>
          <w:numId w:val="21"/>
        </w:numPr>
        <w:tabs>
          <w:tab w:val="left" w:pos="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2503F4"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 xml:space="preserve">коефициент </w:t>
      </w:r>
      <w:r w:rsidR="00A7172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(</w:t>
      </w:r>
      <w:r w:rsidRPr="002503F4"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>процент</w:t>
      </w:r>
      <w:r w:rsidR="00A7172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)</w:t>
      </w:r>
      <w:r w:rsidRPr="002503F4"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 xml:space="preserve"> на неуспешните опити за предаване на данни </w:t>
      </w:r>
      <w:r w:rsidR="00A7172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(</w:t>
      </w:r>
      <w:r w:rsidR="00233F90"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>фиксирана мрежа</w:t>
      </w:r>
      <w:r w:rsidR="00A7172B"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 xml:space="preserve">) </w:t>
      </w:r>
      <w:r w:rsidRPr="002503F4"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>-</w:t>
      </w:r>
      <w:r w:rsidR="005731B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Pr="002503F4">
        <w:rPr>
          <w:rFonts w:ascii="Times New Roman" w:eastAsia="Times New Roman" w:hAnsi="Times New Roman" w:cs="Times New Roman"/>
          <w:noProof/>
          <w:sz w:val="24"/>
          <w:szCs w:val="24"/>
        </w:rPr>
        <w:t>&lt;</w:t>
      </w:r>
      <w:r w:rsidR="00232767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</w:t>
      </w:r>
      <w:bookmarkStart w:id="0" w:name="_GoBack"/>
      <w:bookmarkEnd w:id="0"/>
      <w:r w:rsidR="00233F90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0.00</w:t>
      </w:r>
      <w:r w:rsidRPr="002503F4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1</w:t>
      </w:r>
      <w:r w:rsidRPr="002503F4">
        <w:rPr>
          <w:rFonts w:ascii="Times New Roman" w:eastAsia="Times New Roman" w:hAnsi="Times New Roman" w:cs="Times New Roman"/>
          <w:noProof/>
          <w:sz w:val="24"/>
          <w:szCs w:val="24"/>
        </w:rPr>
        <w:t>%</w:t>
      </w:r>
    </w:p>
    <w:p w:rsidR="00B12C45" w:rsidRDefault="0061321F" w:rsidP="00B12C45">
      <w:pPr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</w:pPr>
      <w:r w:rsidRPr="002503F4"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>Представя се декларация.</w:t>
      </w:r>
    </w:p>
    <w:p w:rsidR="00BB18BE" w:rsidRDefault="0061321F" w:rsidP="00BB18BE">
      <w:pPr>
        <w:autoSpaceDE w:val="0"/>
        <w:spacing w:after="0" w:line="240" w:lineRule="auto"/>
        <w:ind w:firstLine="720"/>
        <w:contextualSpacing/>
        <w:jc w:val="both"/>
        <w:rPr>
          <w:rFonts w:ascii="Times New Roman" w:eastAsia="PMingLiU" w:hAnsi="Times New Roman" w:cs="Times New Roman"/>
          <w:bCs/>
          <w:iCs/>
          <w:color w:val="000000" w:themeColor="text1"/>
          <w:sz w:val="24"/>
          <w:szCs w:val="24"/>
          <w:lang w:val="bg-BG"/>
        </w:rPr>
      </w:pP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10. Участникът следва да декларира, че ще</w:t>
      </w:r>
      <w:r w:rsidR="00B12C45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осигури всички цифрови наземни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линии по Таблица 1 и ще осъществи активиране на всички услуги по предмета на поръчката до 60 календарни дни </w:t>
      </w:r>
      <w:r w:rsidRPr="00B12C45">
        <w:rPr>
          <w:rFonts w:ascii="Times New Roman" w:eastAsia="PMingLiU" w:hAnsi="Times New Roman" w:cs="Times New Roman"/>
          <w:bCs/>
          <w:iCs/>
          <w:color w:val="000000" w:themeColor="text1"/>
          <w:sz w:val="24"/>
          <w:szCs w:val="24"/>
          <w:lang w:val="bg-BG"/>
        </w:rPr>
        <w:t>от да</w:t>
      </w:r>
      <w:r w:rsidR="00BB18BE">
        <w:rPr>
          <w:rFonts w:ascii="Times New Roman" w:eastAsia="PMingLiU" w:hAnsi="Times New Roman" w:cs="Times New Roman"/>
          <w:bCs/>
          <w:iCs/>
          <w:color w:val="000000" w:themeColor="text1"/>
          <w:sz w:val="24"/>
          <w:szCs w:val="24"/>
          <w:lang w:val="bg-BG"/>
        </w:rPr>
        <w:t>тата на подписване на договора.</w:t>
      </w:r>
    </w:p>
    <w:p w:rsidR="00BB18BE" w:rsidRDefault="0061321F" w:rsidP="00BB18BE">
      <w:pPr>
        <w:autoSpaceDE w:val="0"/>
        <w:spacing w:after="0" w:line="240" w:lineRule="auto"/>
        <w:ind w:firstLine="720"/>
        <w:contextualSpacing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11.</w:t>
      </w:r>
      <w:r w:rsidR="002C3EFC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Изпълнителят се задължава да осигури техническото оборудване за своя сметка, което да осигурява изискуемите параметри на комуникационната свързаност на точките </w:t>
      </w:r>
      <w:r w:rsidR="00BB18BE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на Възложителя  по Таблица 1.  </w:t>
      </w:r>
    </w:p>
    <w:p w:rsidR="00B12C45" w:rsidRPr="00BB18BE" w:rsidRDefault="0061321F" w:rsidP="00BB18BE">
      <w:pPr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</w:pP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12.</w:t>
      </w:r>
      <w:r w:rsidR="002C3EFC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Изпълнителят следва да осъществи плавен преход</w:t>
      </w:r>
      <w:r w:rsidRPr="0061321F" w:rsidDel="006E7BBA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при прехвърляне на предоставянето на комуникационните услуги от съществуващия доставчик към своята комуникационна среда – основна и резервирана. </w:t>
      </w:r>
      <w:r w:rsidRPr="00192F7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За целта Изпълнителят следва да осигури непрекъснатост на услугата с изискваното качество. </w:t>
      </w:r>
    </w:p>
    <w:p w:rsidR="0061321F" w:rsidRPr="0061321F" w:rsidRDefault="0061321F" w:rsidP="00B12C45">
      <w:pPr>
        <w:keepNext/>
        <w:spacing w:before="240" w:after="60" w:line="240" w:lineRule="auto"/>
        <w:ind w:left="1440"/>
        <w:jc w:val="center"/>
        <w:outlineLvl w:val="0"/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val="bg-BG"/>
        </w:rPr>
      </w:pPr>
      <w:r w:rsidRPr="0061321F"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val="bg-BG"/>
        </w:rPr>
        <w:t>Списък на адресите на предоставяне на услугите с техните характеристики:</w:t>
      </w:r>
    </w:p>
    <w:p w:rsidR="0061321F" w:rsidRPr="0061321F" w:rsidRDefault="0061321F" w:rsidP="002C3E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61321F"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  <w:proofErr w:type="spellEnd"/>
      <w:r w:rsidRPr="006132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32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</w:p>
    <w:p w:rsidR="0061321F" w:rsidRPr="0061321F" w:rsidRDefault="0061321F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700"/>
        <w:gridCol w:w="3150"/>
      </w:tblGrid>
      <w:tr w:rsidR="00C73D15" w:rsidRPr="0061321F" w:rsidTr="002C3EFC">
        <w:trPr>
          <w:jc w:val="center"/>
        </w:trPr>
        <w:tc>
          <w:tcPr>
            <w:tcW w:w="2875" w:type="dxa"/>
          </w:tcPr>
          <w:p w:rsidR="00C73D15" w:rsidRPr="0061321F" w:rsidRDefault="00C73D15" w:rsidP="002C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свързаност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Интерфейс</w:t>
            </w:r>
            <w:proofErr w:type="spellEnd"/>
          </w:p>
        </w:tc>
        <w:tc>
          <w:tcPr>
            <w:tcW w:w="3150" w:type="dxa"/>
          </w:tcPr>
          <w:p w:rsidR="00C73D15" w:rsidRPr="0061321F" w:rsidRDefault="00C73D15" w:rsidP="006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Капацитети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свързаност</w:t>
            </w:r>
            <w:proofErr w:type="spellEnd"/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C73D15" w:rsidP="006132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РДБГ - 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Монтана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, КП с.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Долно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Церовене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C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Интерфейс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6 Mbps</w:t>
            </w:r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2C3EFC" w:rsidP="0061321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РДБГ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="00C73D15"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, КП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C73D15"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Бърдарски</w:t>
            </w:r>
            <w:proofErr w:type="spellEnd"/>
            <w:r w:rsidR="00C73D15"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D15"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геран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C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Интерфейс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8 Mbps</w:t>
            </w:r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РДБГ-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КП с.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Голям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Чардак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6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Интерфейс </w:t>
            </w: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8 Mbps</w:t>
            </w:r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РДБГ -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КП с.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Поповица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6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Интерфейс </w:t>
            </w: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6 Mbps</w:t>
            </w:r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РДБГ-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Загора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, КП с.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Петрово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6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Интерфейс </w:t>
            </w: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8 Mbps</w:t>
            </w:r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РДБГ-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Пазарджик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, КП с.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Гелеменово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6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6 Mbps</w:t>
            </w:r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РДБГ-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2C3E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Видин</w:t>
            </w:r>
            <w:proofErr w:type="spellEnd"/>
            <w:r w:rsidR="002C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EF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, КП с.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Грамада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6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Интерфейс </w:t>
            </w: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6 Mbps</w:t>
            </w:r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РДБГ-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Плевен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, КП с.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Долни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дъбник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6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Интерфейс </w:t>
            </w: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6 Mbps</w:t>
            </w:r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РДБГ-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Сливен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, КП с.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6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8 Mbps</w:t>
            </w:r>
          </w:p>
        </w:tc>
      </w:tr>
    </w:tbl>
    <w:p w:rsidR="0061321F" w:rsidRPr="0061321F" w:rsidRDefault="0061321F" w:rsidP="0061321F">
      <w:pPr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21F" w:rsidRPr="0061321F" w:rsidRDefault="0061321F" w:rsidP="0061321F">
      <w:pPr>
        <w:spacing w:after="0" w:line="240" w:lineRule="auto"/>
        <w:ind w:left="-9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321F" w:rsidRPr="0061321F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*  КП-Команден пункт; РДБГ – Регионална дирекция „Борба с градушките”</w:t>
      </w:r>
    </w:p>
    <w:p w:rsidR="0061321F" w:rsidRPr="0061321F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Default="0061321F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B18BE" w:rsidRDefault="00BB18BE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Default="0061321F" w:rsidP="008E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B18BE" w:rsidRDefault="00BB18BE" w:rsidP="008E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B18BE" w:rsidRDefault="00BB18BE" w:rsidP="008E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B18BE" w:rsidRDefault="00BB18BE" w:rsidP="008E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B18BE" w:rsidRDefault="00BB18BE" w:rsidP="008E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B18BE" w:rsidRDefault="00BB18BE" w:rsidP="008E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B18BE" w:rsidRDefault="00BB18BE" w:rsidP="008E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B18BE" w:rsidRDefault="00BB18BE" w:rsidP="008E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B18BE" w:rsidRDefault="00BB18BE" w:rsidP="008E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B18BE" w:rsidRDefault="00BB18BE" w:rsidP="008E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B18BE" w:rsidRDefault="00BB18BE" w:rsidP="008E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B18BE" w:rsidRDefault="00BB18BE" w:rsidP="008E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A3FCB" w:rsidRDefault="004A3FCB" w:rsidP="008E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 2</w:t>
      </w:r>
    </w:p>
    <w:p w:rsidR="0061321F" w:rsidRPr="0061321F" w:rsidRDefault="0061321F" w:rsidP="006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4162" w:rsidRDefault="0061321F" w:rsidP="004A3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МЕТОДИКА ЗА ОЦЕНКА НА ОФЕРТИТЕ</w:t>
      </w:r>
    </w:p>
    <w:p w:rsidR="004A3FCB" w:rsidRDefault="004A3FCB" w:rsidP="004A3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4162" w:rsidRPr="00BD4162" w:rsidRDefault="004A3FCB" w:rsidP="004A3FCB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ЗА </w:t>
      </w:r>
      <w:r w:rsidR="00BD4162" w:rsidRPr="00BD4162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  <w:t>ОБЩЕСТВЕНА ПОРЪЧКА С ПРЕДМЕТ:</w:t>
      </w:r>
    </w:p>
    <w:p w:rsidR="00BD4162" w:rsidRPr="00BD4162" w:rsidRDefault="002C3EFC" w:rsidP="004A3FCB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696A24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 w:rsidRPr="00696A24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 w:rsidRPr="00696A24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 w:rsidRPr="00696A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 w:rsidRPr="00696A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 w:rsidRPr="00696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BD4162" w:rsidRPr="0061321F" w:rsidRDefault="00BD4162" w:rsidP="006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61321F" w:rsidRDefault="0061321F" w:rsidP="004A3FCB">
      <w:pPr>
        <w:spacing w:after="0" w:line="240" w:lineRule="auto"/>
        <w:ind w:firstLine="720"/>
        <w:jc w:val="both"/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</w:pP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Критерият и показателите за оценка се прилагат само по отношение на офертите на участниците, които отговарят на всички изисквания на Възложителя.</w:t>
      </w:r>
    </w:p>
    <w:p w:rsidR="0061321F" w:rsidRPr="0061321F" w:rsidRDefault="0061321F" w:rsidP="004A3FCB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61321F" w:rsidRDefault="0061321F" w:rsidP="004A3FCB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Критерий за оценка на офертата:</w:t>
      </w:r>
      <w:r w:rsidRPr="006132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„оптимално съотношение качество/цена”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при количествени и качествени показатели, относителна тежест и методика за определяне на комплексната оценка на офертата, както следва:</w:t>
      </w:r>
    </w:p>
    <w:p w:rsidR="0061321F" w:rsidRPr="0061321F" w:rsidRDefault="0061321F" w:rsidP="004A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1321F" w:rsidRPr="0061321F" w:rsidRDefault="0061321F" w:rsidP="004A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Крайната /комплексна/ оценка (</w:t>
      </w:r>
      <w:r w:rsidRPr="006132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</w:t>
      </w:r>
      <w:r w:rsidR="0070386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</w:t>
      </w:r>
      <w:r w:rsidRPr="006132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 се изчислява по следната формула:</w:t>
      </w:r>
    </w:p>
    <w:p w:rsidR="0061321F" w:rsidRPr="0061321F" w:rsidRDefault="0061321F" w:rsidP="004A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61321F" w:rsidRDefault="0061321F" w:rsidP="004A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КО = 0.5ТО + 0.5ЦО</w:t>
      </w:r>
      <w:r w:rsidRPr="006132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6132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където:</w:t>
      </w:r>
    </w:p>
    <w:p w:rsidR="0061321F" w:rsidRPr="00192F7F" w:rsidRDefault="0061321F" w:rsidP="004A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1321F" w:rsidRPr="0061321F" w:rsidRDefault="0061321F" w:rsidP="004A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Показател ТО – Техническа оценка, с относителна тежест в комплексната оценка – 0.50</w:t>
      </w:r>
    </w:p>
    <w:p w:rsidR="0061321F" w:rsidRPr="0061321F" w:rsidRDefault="0061321F" w:rsidP="004A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Показател ЦО – Финансова оценка, с относителна тежест в комплексната оценка – 0.50</w:t>
      </w:r>
    </w:p>
    <w:p w:rsidR="0061321F" w:rsidRPr="0061321F" w:rsidRDefault="0061321F" w:rsidP="004A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1321F" w:rsidRPr="0061321F" w:rsidRDefault="0061321F" w:rsidP="004A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най – изгодна оферта за Възложителя се определя офертата, получила най-висока комплексна оценка.</w:t>
      </w:r>
    </w:p>
    <w:p w:rsidR="0061321F" w:rsidRPr="0061321F" w:rsidRDefault="0061321F" w:rsidP="004A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1321F" w:rsidRPr="0061321F" w:rsidRDefault="0061321F" w:rsidP="004A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Показател 1 – Техническа оферта ТО</w:t>
      </w:r>
    </w:p>
    <w:p w:rsidR="0061321F" w:rsidRPr="0061321F" w:rsidRDefault="0061321F" w:rsidP="004A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1321F" w:rsidRPr="0061321F" w:rsidRDefault="0061321F" w:rsidP="00B12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Общата техническа оценка ТО се определя ка</w:t>
      </w:r>
      <w:r w:rsidR="00BB18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</w:t>
      </w:r>
      <w:r w:rsidRPr="006132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сума от оценките на посочените по-долу показатели, които имат следната относителна тежест:</w:t>
      </w:r>
    </w:p>
    <w:p w:rsidR="0061321F" w:rsidRPr="0061321F" w:rsidRDefault="0061321F" w:rsidP="004A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1321F" w:rsidRPr="0061321F" w:rsidRDefault="0061321F" w:rsidP="004A3F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21F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ТО</w:t>
      </w:r>
      <w:r w:rsidRPr="0061321F">
        <w:rPr>
          <w:rFonts w:ascii="Times New Roman" w:eastAsia="Times New Roman" w:hAnsi="Times New Roman" w:cs="Times New Roman"/>
          <w:b/>
          <w:bCs/>
          <w:sz w:val="28"/>
          <w:szCs w:val="28"/>
        </w:rPr>
        <w:t>=TO1x0.</w:t>
      </w:r>
      <w:r w:rsidRPr="0061321F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5</w:t>
      </w:r>
      <w:r w:rsidRPr="0061321F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61321F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+</w:t>
      </w:r>
      <w:r w:rsidRPr="0061321F">
        <w:rPr>
          <w:rFonts w:ascii="Times New Roman" w:eastAsia="Times New Roman" w:hAnsi="Times New Roman" w:cs="Times New Roman"/>
          <w:b/>
          <w:bCs/>
          <w:sz w:val="28"/>
          <w:szCs w:val="28"/>
        </w:rPr>
        <w:t>TO2x0.20</w:t>
      </w:r>
      <w:r w:rsidRPr="0061321F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+</w:t>
      </w:r>
      <w:r w:rsidRPr="0061321F">
        <w:rPr>
          <w:rFonts w:ascii="Times New Roman" w:eastAsia="Times New Roman" w:hAnsi="Times New Roman" w:cs="Times New Roman"/>
          <w:b/>
          <w:bCs/>
          <w:sz w:val="28"/>
          <w:szCs w:val="28"/>
        </w:rPr>
        <w:t>TO3x0.10+TO4x0.10+TO5x0.10</w:t>
      </w:r>
    </w:p>
    <w:p w:rsidR="0061321F" w:rsidRPr="0061321F" w:rsidRDefault="0061321F" w:rsidP="004A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61321F" w:rsidRPr="0061321F" w:rsidRDefault="0061321F" w:rsidP="00B12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Техническата оценка ТО се формира по следните технически показатели:</w:t>
      </w:r>
    </w:p>
    <w:p w:rsidR="0061321F" w:rsidRPr="0061321F" w:rsidRDefault="0061321F" w:rsidP="004A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1321F" w:rsidRPr="0061321F" w:rsidRDefault="0061321F" w:rsidP="004A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ТО1 – Срок за активиране на услугите</w:t>
      </w:r>
      <w:r w:rsidR="00101F4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</w:t>
      </w:r>
      <w:r w:rsidRPr="006132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описани в техническата спецификация</w:t>
      </w:r>
      <w:r w:rsidRPr="00192F7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след изграждане на мрежата:</w:t>
      </w:r>
    </w:p>
    <w:p w:rsidR="0061321F" w:rsidRPr="0061321F" w:rsidRDefault="0061321F" w:rsidP="004A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1321F" w:rsidRPr="00192F7F" w:rsidRDefault="0061321F" w:rsidP="004A3FCB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bg-BG"/>
        </w:rPr>
        <w:tab/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="00F35809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О1 = 100х</w:t>
      </w:r>
      <w:proofErr w:type="spellStart"/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Sr</w:t>
      </w:r>
      <w:proofErr w:type="spellEnd"/>
      <w:r w:rsidRPr="00192F7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min</w:t>
      </w:r>
      <w:r w:rsidRPr="00192F7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192F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321F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192F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</w:pPr>
      <w:proofErr w:type="spellStart"/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Srn</w:t>
      </w:r>
      <w:proofErr w:type="spellEnd"/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– срок за активиране, предложен от конкретния участник;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  <w:proofErr w:type="spellStart"/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Sr</w:t>
      </w:r>
      <w:proofErr w:type="spellEnd"/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  <w:vertAlign w:val="subscript"/>
        </w:rPr>
        <w:t>min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- най-малкият срок</w:t>
      </w:r>
      <w:r w:rsidR="00B45D4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,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предложен между всички оферти </w:t>
      </w:r>
      <w:r w:rsidR="00B45D40" w:rsidRPr="00192F7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(</w:t>
      </w:r>
      <w:r w:rsidR="00B45D4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минимално оценим срок - 1 ден)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</w:p>
    <w:p w:rsidR="0061321F" w:rsidRPr="00192F7F" w:rsidRDefault="0061321F" w:rsidP="0061321F">
      <w:pPr>
        <w:tabs>
          <w:tab w:val="left" w:pos="59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ТО2 – Закъснение при предаване на  данни – Стандартно отклонение на закъснението в </w:t>
      </w:r>
      <w:proofErr w:type="spellStart"/>
      <w:r w:rsidRPr="0061321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ms</w:t>
      </w:r>
      <w:proofErr w:type="spellEnd"/>
    </w:p>
    <w:p w:rsidR="0061321F" w:rsidRPr="0061321F" w:rsidRDefault="0061321F" w:rsidP="0061321F">
      <w:pPr>
        <w:tabs>
          <w:tab w:val="left" w:pos="59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- Закъснение при предаване на данни </w:t>
      </w:r>
      <w:r w:rsidR="00355951" w:rsidRPr="00192F7F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>(</w:t>
      </w:r>
      <w:r w:rsidRPr="0061321F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>еднопосочно</w:t>
      </w:r>
      <w:r w:rsidR="00355951" w:rsidRPr="00192F7F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>)</w:t>
      </w:r>
      <w:r w:rsidRPr="0061321F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 за фиксирани мрежи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bg-BG"/>
        </w:rPr>
        <w:t xml:space="preserve">      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="00F35809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О2 = 100х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2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Z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min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/Т2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Zn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proofErr w:type="spellStart"/>
      <w:r w:rsidRPr="0061321F">
        <w:rPr>
          <w:rFonts w:ascii="Times New Roman" w:eastAsia="Times New Roman" w:hAnsi="Times New Roman" w:cs="Times New Roman"/>
          <w:sz w:val="24"/>
          <w:szCs w:val="24"/>
        </w:rPr>
        <w:t>Zmin</w:t>
      </w:r>
      <w:proofErr w:type="spellEnd"/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стойност на най-малкото стандартно отклонение на закъснението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Zn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стойност на показателя за конкретния участник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*Предложената стойност следва да е придружена с описание, което съдържа описание на </w:t>
      </w:r>
      <w:r w:rsidR="00F3580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доказателства</w:t>
      </w:r>
      <w:r w:rsidRPr="0061321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, в подкрепа на достоверността на предложението.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61321F" w:rsidRDefault="0061321F" w:rsidP="0061321F">
      <w:pPr>
        <w:tabs>
          <w:tab w:val="left" w:pos="59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ТО3 – Закъснение при предаване на  данни – Средна стойност на закъснението при предаване на данни в </w:t>
      </w:r>
      <w:proofErr w:type="spellStart"/>
      <w:r w:rsidRPr="0061321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ms</w:t>
      </w:r>
      <w:proofErr w:type="spellEnd"/>
      <w:r w:rsidRPr="0061321F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  - Закъснение при предаване на данни </w:t>
      </w:r>
      <w:r w:rsidR="00482CF4" w:rsidRPr="00192F7F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>(</w:t>
      </w:r>
      <w:r w:rsidRPr="0061321F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>еднопосочно</w:t>
      </w:r>
      <w:r w:rsidR="00482CF4" w:rsidRPr="00192F7F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>)</w:t>
      </w:r>
      <w:r w:rsidRPr="0061321F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 за фиксирани мрежи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bg-BG"/>
        </w:rPr>
      </w:pPr>
      <w:r w:rsidRPr="0061321F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bg-BG"/>
        </w:rPr>
        <w:t xml:space="preserve">      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bg-BG"/>
        </w:rPr>
        <w:tab/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="00CD683A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О3 = 100х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3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Z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min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/Т3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Zn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proofErr w:type="spellStart"/>
      <w:r w:rsidRPr="0061321F">
        <w:rPr>
          <w:rFonts w:ascii="Times New Roman" w:eastAsia="Times New Roman" w:hAnsi="Times New Roman" w:cs="Times New Roman"/>
          <w:sz w:val="24"/>
          <w:szCs w:val="24"/>
        </w:rPr>
        <w:t>Zmin</w:t>
      </w:r>
      <w:proofErr w:type="spellEnd"/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стойност на най-малкото средно стандартно отклонение на закъснението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Zn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стойност на показателя за конкретния участник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*Предложената стойност следва да е придружена с описание, което съдържа описание на </w:t>
      </w:r>
      <w:r w:rsidR="00CD683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доказателства</w:t>
      </w:r>
      <w:r w:rsidRPr="0061321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, в подкрепа на достоверността на предложението.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61321F" w:rsidRPr="00192F7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192F7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4 – </w:t>
      </w:r>
      <w:r w:rsidRPr="006132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Максимална постигната скорост на предаване на данни за достъп до интернет за фиксирани мрежи</w:t>
      </w:r>
      <w:r w:rsidRPr="00192F7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– </w:t>
      </w:r>
      <w:r w:rsidRPr="006132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 </w:t>
      </w:r>
      <w:proofErr w:type="spellStart"/>
      <w:r w:rsidRPr="0061321F">
        <w:rPr>
          <w:rFonts w:ascii="Times New Roman" w:eastAsia="Times New Roman" w:hAnsi="Times New Roman" w:cs="Times New Roman"/>
          <w:b/>
          <w:sz w:val="24"/>
          <w:szCs w:val="24"/>
        </w:rPr>
        <w:t>mbit</w:t>
      </w:r>
      <w:proofErr w:type="spellEnd"/>
      <w:r w:rsidRPr="00192F7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</w:t>
      </w:r>
      <w:r w:rsidRPr="0061321F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192F7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1321F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bg-BG"/>
        </w:rPr>
        <w:t xml:space="preserve">      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="00043651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О4 = 100х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4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Z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/Т4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92F7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max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proofErr w:type="spellStart"/>
      <w:r w:rsidRPr="0061321F">
        <w:rPr>
          <w:rFonts w:ascii="Times New Roman" w:eastAsia="Times New Roman" w:hAnsi="Times New Roman" w:cs="Times New Roman"/>
          <w:sz w:val="24"/>
          <w:szCs w:val="24"/>
        </w:rPr>
        <w:t>Zmax</w:t>
      </w:r>
      <w:proofErr w:type="spellEnd"/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стойност на най-голямата постигната скорост на предаване на данни за достъп до интернет за фиксирани мрежи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Zn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стойност на показателя за конкретния участник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*Предложената стойност следва да е придружена с описание, което съдържа описание на </w:t>
      </w:r>
      <w:r w:rsidR="0004365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доказателства</w:t>
      </w:r>
      <w:r w:rsidRPr="0061321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в подкрепа на достоверността на предложението.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192F7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192F7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5– </w:t>
      </w:r>
      <w:r w:rsidRPr="006132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Минимална постигната скорост на предаване на данни за достъп до интернет за фиксирани мрежи</w:t>
      </w:r>
      <w:r w:rsidRPr="00192F7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– </w:t>
      </w:r>
      <w:r w:rsidRPr="006132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 </w:t>
      </w:r>
      <w:proofErr w:type="spellStart"/>
      <w:r w:rsidRPr="0061321F">
        <w:rPr>
          <w:rFonts w:ascii="Times New Roman" w:eastAsia="Times New Roman" w:hAnsi="Times New Roman" w:cs="Times New Roman"/>
          <w:b/>
          <w:sz w:val="24"/>
          <w:szCs w:val="24"/>
        </w:rPr>
        <w:t>kbit</w:t>
      </w:r>
      <w:proofErr w:type="spellEnd"/>
      <w:r w:rsidRPr="00192F7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</w:t>
      </w:r>
      <w:r w:rsidRPr="0061321F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192F7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bg-BG"/>
        </w:rPr>
        <w:t xml:space="preserve">      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="00043651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О5 = 100х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5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Z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proofErr w:type="gramStart"/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Т5</w:t>
      </w:r>
      <w:proofErr w:type="spellStart"/>
      <w:r w:rsidRPr="0061321F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min</w:t>
      </w:r>
      <w:proofErr w:type="spellEnd"/>
      <w:r w:rsidRPr="00192F7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(</w:t>
      </w:r>
      <w:proofErr w:type="gramEnd"/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max</w:t>
      </w:r>
      <w:r w:rsidRPr="00192F7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)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gramStart"/>
      <w:r w:rsidRPr="0061321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proofErr w:type="spellStart"/>
      <w:r w:rsidRPr="0061321F">
        <w:rPr>
          <w:rFonts w:ascii="Times New Roman" w:eastAsia="Times New Roman" w:hAnsi="Times New Roman" w:cs="Times New Roman"/>
          <w:sz w:val="24"/>
          <w:szCs w:val="24"/>
        </w:rPr>
        <w:t>Zmin</w:t>
      </w:r>
      <w:proofErr w:type="spellEnd"/>
      <w:r w:rsidRPr="00192F7F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proofErr w:type="gramEnd"/>
      <w:r w:rsidRPr="0061321F">
        <w:rPr>
          <w:rFonts w:ascii="Times New Roman" w:eastAsia="Times New Roman" w:hAnsi="Times New Roman" w:cs="Times New Roman"/>
          <w:sz w:val="24"/>
          <w:szCs w:val="24"/>
        </w:rPr>
        <w:t>max</w:t>
      </w:r>
      <w:r w:rsidRPr="00192F7F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стойност на най-голямата минимална постигната скорост на предаване на данни за достъп до интернет за фиксирани мрежи</w:t>
      </w:r>
    </w:p>
    <w:p w:rsidR="0061321F" w:rsidRPr="00192F7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Zn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стойност на показателя за конкретния участник</w:t>
      </w:r>
      <w:r w:rsidRPr="00192F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*Предложената стойност следва да е придружена с описание, което съдържа описание на </w:t>
      </w:r>
      <w:r w:rsidR="00DA272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доказателства</w:t>
      </w:r>
      <w:r w:rsidRPr="0061321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, в подкрепа на достоверността на предложението.</w:t>
      </w:r>
    </w:p>
    <w:p w:rsidR="0061321F" w:rsidRPr="0061321F" w:rsidRDefault="0061321F" w:rsidP="006132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2F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ЗАБЕЛЕЖКА</w:t>
      </w:r>
      <w:r w:rsidRPr="00192F7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:</w:t>
      </w:r>
      <w:r w:rsidRPr="00192F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Декларираните стойности по отношение на показатели  ТО2, ТО3, ТО4 и ТО5 следва да са вписани като параметър за измерване на качеството на услугите съгласно Приложение № 5 към чл. 38 на Общи изисквания при осъществяване на обществени електронни съобщения. За доказване на тези обстоятелства се прилагат декларации по отношение на показатели  ТО2, ТО3, ТО4 и ТО5 от представляващите участника по актуално състояние,   заверено копие от интернет страницата на участника и линк към нея, където са публикувани параметрите за качество на услугите предоставяни от кандидата за 2015 календарна година.</w:t>
      </w:r>
    </w:p>
    <w:p w:rsidR="0061321F" w:rsidRPr="00192F7F" w:rsidRDefault="0061321F" w:rsidP="0061321F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4A3FCB" w:rsidRDefault="004A3FCB" w:rsidP="004A3FCB">
      <w:pPr>
        <w:tabs>
          <w:tab w:val="left" w:pos="593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bg-BG"/>
        </w:rPr>
        <w:t xml:space="preserve">  </w:t>
      </w:r>
      <w:r w:rsidR="0061321F"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61321F" w:rsidRPr="0061321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>Показател 2 – Финансова оценка</w:t>
      </w:r>
    </w:p>
    <w:p w:rsidR="0061321F" w:rsidRDefault="0061321F" w:rsidP="0061321F">
      <w:pPr>
        <w:tabs>
          <w:tab w:val="left" w:pos="59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              Финансовата оценка се определя на базата на </w:t>
      </w:r>
      <w:r w:rsidRPr="00BD4162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общата месечна такса на услугите</w:t>
      </w:r>
      <w:r w:rsidR="00A070FE" w:rsidRPr="00BD4162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</w:t>
      </w:r>
      <w:r w:rsidR="00EB57D3" w:rsidRPr="00192F7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(</w:t>
      </w:r>
      <w:r w:rsidR="008824F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цената на услугата </w:t>
      </w:r>
      <w:r w:rsidR="00A070FE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трябва да бъде разпред</w:t>
      </w:r>
      <w:r w:rsidR="00EB57D3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елена на 12 равни месечни такси)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. Ако участникът предвижда еднократни разходи, то те трябва да бъдат разпределени към месечните такси – към всяка месечна такса се добавя 1/12 от еднократните разходи.</w:t>
      </w:r>
      <w:r w:rsidR="00A070FE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</w:t>
      </w:r>
    </w:p>
    <w:p w:rsidR="0060108E" w:rsidRPr="0061321F" w:rsidRDefault="0060108E" w:rsidP="0061321F">
      <w:pPr>
        <w:tabs>
          <w:tab w:val="left" w:pos="59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</w:pPr>
    </w:p>
    <w:p w:rsidR="0061321F" w:rsidRPr="0061321F" w:rsidRDefault="0061321F" w:rsidP="0061321F">
      <w:pPr>
        <w:tabs>
          <w:tab w:val="left" w:pos="59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Показателят ЦО за оценка на ценовата о</w:t>
      </w:r>
      <w:r w:rsidR="00AF42C9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ферта се изчислява</w:t>
      </w:r>
      <w:r w:rsidR="00517F7C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,</w:t>
      </w:r>
      <w:r w:rsidR="00AF42C9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както следва </w:t>
      </w:r>
      <w:r w:rsidRPr="0061321F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по формулата:</w:t>
      </w:r>
    </w:p>
    <w:p w:rsidR="0061321F" w:rsidRPr="0061321F" w:rsidRDefault="0061321F" w:rsidP="0061321F">
      <w:pPr>
        <w:spacing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bg-BG"/>
        </w:rPr>
      </w:pPr>
      <w:r w:rsidRPr="0061321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bg-BG"/>
        </w:rPr>
        <w:t>Ц</w:t>
      </w:r>
      <w:r w:rsidR="008D586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bg-BG"/>
        </w:rPr>
        <w:t>О</w:t>
      </w:r>
      <w:r w:rsidRPr="0061321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bg-BG"/>
        </w:rPr>
        <w:t xml:space="preserve"> = </w:t>
      </w:r>
      <w:r w:rsidRPr="00192F7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bg-BG"/>
        </w:rPr>
        <w:t>100</w:t>
      </w:r>
      <w:r w:rsidR="008D586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bg-BG"/>
        </w:rPr>
        <w:t>х</w:t>
      </w:r>
      <w:r w:rsidRPr="0061321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bg-BG"/>
        </w:rPr>
        <w:t>Ц</w:t>
      </w:r>
      <w:r w:rsidRPr="0061321F">
        <w:rPr>
          <w:rFonts w:ascii="Times New Roman" w:eastAsia="Times New Roman" w:hAnsi="Times New Roman" w:cs="Times New Roman"/>
          <w:spacing w:val="-8"/>
          <w:sz w:val="28"/>
          <w:szCs w:val="28"/>
          <w:lang w:val="bg-BG"/>
        </w:rPr>
        <w:t xml:space="preserve">мин / </w:t>
      </w:r>
      <w:r w:rsidRPr="0061321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bg-BG"/>
        </w:rPr>
        <w:t>Ц</w:t>
      </w:r>
      <w:r w:rsidRPr="0061321F">
        <w:rPr>
          <w:rFonts w:ascii="Times New Roman" w:eastAsia="Times New Roman" w:hAnsi="Times New Roman" w:cs="Times New Roman"/>
          <w:spacing w:val="-8"/>
          <w:sz w:val="28"/>
          <w:szCs w:val="28"/>
        </w:rPr>
        <w:t>n</w:t>
      </w:r>
      <w:r w:rsidRPr="0061321F">
        <w:rPr>
          <w:rFonts w:ascii="Times New Roman" w:eastAsia="Times New Roman" w:hAnsi="Times New Roman" w:cs="Times New Roman"/>
          <w:spacing w:val="-8"/>
          <w:sz w:val="28"/>
          <w:szCs w:val="28"/>
          <w:lang w:val="bg-BG"/>
        </w:rPr>
        <w:t>, където</w:t>
      </w:r>
    </w:p>
    <w:p w:rsidR="0061321F" w:rsidRPr="0061321F" w:rsidRDefault="0061321F" w:rsidP="0061321F">
      <w:pPr>
        <w:spacing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pacing w:val="-8"/>
          <w:sz w:val="24"/>
          <w:szCs w:val="24"/>
          <w:lang w:val="bg-BG"/>
        </w:rPr>
        <w:t>Ц</w:t>
      </w:r>
      <w:r w:rsidRPr="0061321F">
        <w:rPr>
          <w:rFonts w:ascii="Times New Roman" w:eastAsia="Times New Roman" w:hAnsi="Times New Roman" w:cs="Times New Roman"/>
          <w:spacing w:val="-8"/>
          <w:sz w:val="24"/>
          <w:szCs w:val="24"/>
          <w:vertAlign w:val="subscript"/>
        </w:rPr>
        <w:t>n</w:t>
      </w:r>
      <w:r w:rsidRPr="0061321F">
        <w:rPr>
          <w:rFonts w:ascii="Times New Roman" w:eastAsia="Times New Roman" w:hAnsi="Times New Roman" w:cs="Times New Roman"/>
          <w:spacing w:val="-8"/>
          <w:sz w:val="24"/>
          <w:szCs w:val="24"/>
          <w:lang w:val="bg-BG"/>
        </w:rPr>
        <w:t xml:space="preserve"> - цената, предложена от конкретния участник;</w:t>
      </w:r>
    </w:p>
    <w:p w:rsidR="0061321F" w:rsidRPr="0061321F" w:rsidRDefault="0061321F" w:rsidP="0061321F">
      <w:pPr>
        <w:spacing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pacing w:val="-8"/>
          <w:sz w:val="24"/>
          <w:szCs w:val="24"/>
          <w:lang w:val="bg-BG"/>
        </w:rPr>
        <w:t>Цмин - най-ниската предложена цена между всички оферти;</w:t>
      </w:r>
    </w:p>
    <w:p w:rsidR="0061321F" w:rsidRPr="0061321F" w:rsidRDefault="0061321F" w:rsidP="0061321F">
      <w:pPr>
        <w:tabs>
          <w:tab w:val="left" w:pos="59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</w:pPr>
    </w:p>
    <w:p w:rsidR="0061321F" w:rsidRPr="0061321F" w:rsidRDefault="0061321F" w:rsidP="00BB18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Комплексна оценка</w:t>
      </w:r>
    </w:p>
    <w:p w:rsidR="0061321F" w:rsidRPr="0061321F" w:rsidRDefault="0061321F" w:rsidP="0061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1321F" w:rsidRPr="0061321F" w:rsidRDefault="0061321F" w:rsidP="004A3F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Офертата получила най-висока комплексна оценка се класира на първо място. В случай, че комплексните оценки на две или повече оферти са равни за икономически най-изгодна се приема тази оферта, в която се пр</w:t>
      </w:r>
      <w:r w:rsidR="00AF42C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едлага най-ниска цена. В случай</w:t>
      </w:r>
      <w:r w:rsidRPr="006132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че офертите са с еднакви цени, то комисията провежда публично жребий за определяне на изпълнител между класираните на първо място оферти.</w:t>
      </w:r>
    </w:p>
    <w:p w:rsidR="0061321F" w:rsidRPr="0061321F" w:rsidRDefault="0061321F" w:rsidP="0061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61321F" w:rsidRPr="0061321F" w:rsidRDefault="0061321F" w:rsidP="004A3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 изчисляването на всички стойности по горепосочените формули, резултатите се закръгляват до четвъртия знак след десетичната запетая.</w:t>
      </w:r>
    </w:p>
    <w:p w:rsidR="0061321F" w:rsidRPr="0061321F" w:rsidRDefault="0061321F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61321F" w:rsidRPr="0061321F" w:rsidRDefault="004A3FCB" w:rsidP="0061321F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61321F"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Офертите се класират по сумарно полученият брой точки, от всички показатели.</w:t>
      </w:r>
    </w:p>
    <w:p w:rsidR="0061321F" w:rsidRPr="0061321F" w:rsidRDefault="0061321F" w:rsidP="006744EC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Офертата, получила най-висока оценка </w:t>
      </w:r>
      <w:r w:rsidRPr="006132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</w:t>
      </w:r>
      <w:r w:rsidR="008E5E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, се класира на първо място.</w:t>
      </w:r>
    </w:p>
    <w:sectPr w:rsidR="0061321F" w:rsidRPr="0061321F" w:rsidSect="002C3EFC">
      <w:headerReference w:type="default" r:id="rId9"/>
      <w:headerReference w:type="first" r:id="rId10"/>
      <w:pgSz w:w="12240" w:h="15840" w:code="1"/>
      <w:pgMar w:top="1411" w:right="1411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28" w:rsidRDefault="00CB5D28" w:rsidP="007C0441">
      <w:pPr>
        <w:spacing w:after="0" w:line="240" w:lineRule="auto"/>
      </w:pPr>
      <w:r>
        <w:separator/>
      </w:r>
    </w:p>
  </w:endnote>
  <w:endnote w:type="continuationSeparator" w:id="0">
    <w:p w:rsidR="00CB5D28" w:rsidRDefault="00CB5D28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28" w:rsidRDefault="00CB5D28" w:rsidP="007C0441">
      <w:pPr>
        <w:spacing w:after="0" w:line="240" w:lineRule="auto"/>
      </w:pPr>
      <w:r>
        <w:separator/>
      </w:r>
    </w:p>
  </w:footnote>
  <w:footnote w:type="continuationSeparator" w:id="0">
    <w:p w:rsidR="00CB5D28" w:rsidRDefault="00CB5D28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39" w:rsidRPr="001F0C39" w:rsidRDefault="001F0C39" w:rsidP="001F0C39">
    <w:pPr>
      <w:tabs>
        <w:tab w:val="left" w:pos="9781"/>
      </w:tabs>
      <w:spacing w:after="0" w:line="240" w:lineRule="auto"/>
      <w:ind w:hanging="426"/>
      <w:jc w:val="center"/>
      <w:outlineLvl w:val="5"/>
      <w:rPr>
        <w:rFonts w:ascii="Times New Roman" w:eastAsia="Times New Roman" w:hAnsi="Times New Roman" w:cs="Times New Roman"/>
        <w:b/>
        <w:bCs/>
        <w:sz w:val="24"/>
        <w:szCs w:val="18"/>
        <w:lang w:val="bg-BG" w:eastAsia="x-none"/>
      </w:rPr>
    </w:pPr>
    <w:r w:rsidRPr="001F0C39">
      <w:rPr>
        <w:rFonts w:ascii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45pt;margin-top:-7.5pt;width:43.2pt;height:43.2pt;z-index:251659264" o:allowincell="f">
          <v:imagedata r:id="rId1" o:title=""/>
          <w10:wrap type="topAndBottom"/>
        </v:shape>
        <o:OLEObject Type="Embed" ProgID="CorelDRAW.Graphic.9" ShapeID="_x0000_s2051" DrawAspect="Content" ObjectID="_1532522019" r:id="rId2"/>
      </w:pict>
    </w:r>
    <w:r w:rsidRPr="001F0C39">
      <w:rPr>
        <w:rFonts w:ascii="Times New Roman" w:hAnsi="Times New Roman" w:cs="Times New Roman"/>
        <w:b/>
        <w:sz w:val="24"/>
        <w:lang w:val="bg-BG" w:eastAsia="ja-JP"/>
      </w:rPr>
      <w:t xml:space="preserve">     </w:t>
    </w:r>
    <w:r w:rsidRPr="001F0C39">
      <w:rPr>
        <w:rFonts w:ascii="Times New Roman" w:hAnsi="Times New Roman" w:cs="Times New Roman"/>
        <w:b/>
        <w:sz w:val="24"/>
        <w:lang w:val="bg-BG"/>
      </w:rPr>
      <w:t>МИНИСТЕРСТВО  НА  ЗЕМЕДЕЛИЕТО  И  ХРАНИТЕ</w:t>
    </w:r>
  </w:p>
  <w:p w:rsidR="001F0C39" w:rsidRPr="001F0C39" w:rsidRDefault="001F0C39" w:rsidP="001F0C39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jc w:val="center"/>
      <w:outlineLvl w:val="2"/>
      <w:rPr>
        <w:rFonts w:ascii="Times New Roman" w:hAnsi="Times New Roman" w:cs="Times New Roman"/>
        <w:sz w:val="18"/>
        <w:szCs w:val="20"/>
        <w:lang w:val="bg-BG" w:eastAsia="ja-JP"/>
      </w:rPr>
    </w:pPr>
    <w:r w:rsidRPr="001F0C39">
      <w:rPr>
        <w:rFonts w:ascii="Times New Roman" w:eastAsia="Times New Roman" w:hAnsi="Times New Roman" w:cs="Times New Roman"/>
        <w:sz w:val="24"/>
        <w:szCs w:val="20"/>
        <w:lang w:val="bg-BG"/>
      </w:rPr>
      <w:t>ИЗПЪЛНИТЕЛНА АГЕНЦИЯ “БОРБА С ГРАДУШКИТЕ”</w:t>
    </w:r>
    <w:r w:rsidRPr="001F0C39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 </w:t>
    </w:r>
  </w:p>
  <w:p w:rsidR="001F0C39" w:rsidRPr="001F0C39" w:rsidRDefault="001F0C39" w:rsidP="001F0C39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outlineLvl w:val="2"/>
      <w:rPr>
        <w:rFonts w:ascii="Times New Roman" w:eastAsia="Times New Roman" w:hAnsi="Times New Roman" w:cs="Times New Roman"/>
        <w:sz w:val="18"/>
        <w:szCs w:val="20"/>
        <w:lang w:val="bg-BG"/>
      </w:rPr>
    </w:pPr>
    <w:r w:rsidRPr="001F0C39">
      <w:rPr>
        <w:rFonts w:ascii="Times New Roman" w:eastAsia="Times New Roman" w:hAnsi="Times New Roman" w:cs="Times New Roman"/>
        <w:sz w:val="18"/>
        <w:szCs w:val="20"/>
        <w:lang w:val="bg-BG"/>
      </w:rPr>
      <w:t xml:space="preserve"> </w:t>
    </w:r>
    <w:r w:rsidRPr="001F0C39">
      <w:rPr>
        <w:rFonts w:ascii="Times New Roman" w:hAnsi="Times New Roman" w:cs="Times New Roman"/>
        <w:sz w:val="18"/>
        <w:szCs w:val="20"/>
        <w:lang w:val="bg-BG" w:eastAsia="ja-JP"/>
      </w:rPr>
      <w:t xml:space="preserve">                  </w:t>
    </w:r>
    <w:r w:rsidRPr="001F0C39">
      <w:rPr>
        <w:rFonts w:ascii="Times New Roman" w:eastAsia="Times New Roman" w:hAnsi="Times New Roman" w:cs="Times New Roman"/>
        <w:sz w:val="18"/>
        <w:szCs w:val="20"/>
        <w:lang w:val="bg-BG"/>
      </w:rPr>
      <w:t xml:space="preserve">София, бул. “Христо Ботев” № 17, тел. 9152 951, факс 951 65 97, </w:t>
    </w:r>
    <w:r w:rsidRPr="001F0C39">
      <w:rPr>
        <w:rFonts w:ascii="Times New Roman" w:eastAsia="Times New Roman" w:hAnsi="Times New Roman" w:cs="Times New Roman"/>
        <w:sz w:val="18"/>
        <w:szCs w:val="20"/>
      </w:rPr>
      <w:t>email</w:t>
    </w:r>
    <w:r w:rsidRPr="001F0C39">
      <w:rPr>
        <w:rFonts w:ascii="Times New Roman" w:eastAsia="Times New Roman" w:hAnsi="Times New Roman" w:cs="Times New Roman"/>
        <w:sz w:val="18"/>
        <w:szCs w:val="20"/>
        <w:lang w:val="ru-RU"/>
      </w:rPr>
      <w:t xml:space="preserve">: </w:t>
    </w:r>
    <w:r w:rsidRPr="001F0C39">
      <w:rPr>
        <w:rFonts w:ascii="Times New Roman" w:eastAsia="Times New Roman" w:hAnsi="Times New Roman" w:cs="Times New Roman"/>
        <w:sz w:val="18"/>
        <w:szCs w:val="20"/>
      </w:rPr>
      <w:t>agency</w:t>
    </w:r>
    <w:r w:rsidRPr="001F0C39">
      <w:rPr>
        <w:rFonts w:ascii="Times New Roman" w:eastAsia="Times New Roman" w:hAnsi="Times New Roman" w:cs="Times New Roman"/>
        <w:sz w:val="18"/>
        <w:szCs w:val="20"/>
        <w:lang w:val="ru-RU"/>
      </w:rPr>
      <w:t>@</w:t>
    </w:r>
    <w:proofErr w:type="spellStart"/>
    <w:r w:rsidRPr="001F0C39">
      <w:rPr>
        <w:rFonts w:ascii="Times New Roman" w:eastAsia="Times New Roman" w:hAnsi="Times New Roman" w:cs="Times New Roman"/>
        <w:sz w:val="18"/>
        <w:szCs w:val="20"/>
      </w:rPr>
      <w:t>weathermod</w:t>
    </w:r>
    <w:proofErr w:type="spellEnd"/>
    <w:r w:rsidRPr="001F0C39">
      <w:rPr>
        <w:rFonts w:ascii="Times New Roman" w:eastAsia="Times New Roman" w:hAnsi="Times New Roman" w:cs="Times New Roman"/>
        <w:sz w:val="18"/>
        <w:szCs w:val="20"/>
        <w:lang w:val="bg-BG"/>
      </w:rPr>
      <w:t>-</w:t>
    </w:r>
    <w:proofErr w:type="spellStart"/>
    <w:r w:rsidRPr="001F0C39">
      <w:rPr>
        <w:rFonts w:ascii="Times New Roman" w:eastAsia="Times New Roman" w:hAnsi="Times New Roman" w:cs="Times New Roman"/>
        <w:sz w:val="18"/>
        <w:szCs w:val="20"/>
      </w:rPr>
      <w:t>bg</w:t>
    </w:r>
    <w:proofErr w:type="spellEnd"/>
    <w:r w:rsidRPr="001F0C39">
      <w:rPr>
        <w:rFonts w:ascii="Times New Roman" w:eastAsia="Times New Roman" w:hAnsi="Times New Roman" w:cs="Times New Roman"/>
        <w:sz w:val="18"/>
        <w:szCs w:val="20"/>
        <w:lang w:val="ru-RU"/>
      </w:rPr>
      <w:t>.</w:t>
    </w:r>
    <w:proofErr w:type="spellStart"/>
    <w:r w:rsidRPr="001F0C39">
      <w:rPr>
        <w:rFonts w:ascii="Times New Roman" w:eastAsia="Times New Roman" w:hAnsi="Times New Roman" w:cs="Times New Roman"/>
        <w:sz w:val="18"/>
        <w:szCs w:val="20"/>
      </w:rPr>
      <w:t>eu</w:t>
    </w:r>
    <w:proofErr w:type="spellEnd"/>
  </w:p>
  <w:p w:rsidR="00711438" w:rsidRPr="001F0C39" w:rsidRDefault="00711438" w:rsidP="001F0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14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22"/>
  </w:num>
  <w:num w:numId="22">
    <w:abstractNumId w:val="13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1056B"/>
    <w:rsid w:val="00043651"/>
    <w:rsid w:val="0009153B"/>
    <w:rsid w:val="000A526E"/>
    <w:rsid w:val="000B6CB6"/>
    <w:rsid w:val="000F0B6D"/>
    <w:rsid w:val="00101F46"/>
    <w:rsid w:val="001111EC"/>
    <w:rsid w:val="0011764B"/>
    <w:rsid w:val="00121FF0"/>
    <w:rsid w:val="00192F7F"/>
    <w:rsid w:val="001B7D43"/>
    <w:rsid w:val="001E7492"/>
    <w:rsid w:val="001F0C39"/>
    <w:rsid w:val="00232767"/>
    <w:rsid w:val="00233F90"/>
    <w:rsid w:val="002503F4"/>
    <w:rsid w:val="002651F8"/>
    <w:rsid w:val="00274E99"/>
    <w:rsid w:val="0028760A"/>
    <w:rsid w:val="00296618"/>
    <w:rsid w:val="002B7291"/>
    <w:rsid w:val="002C3EFC"/>
    <w:rsid w:val="002D7D99"/>
    <w:rsid w:val="0030597D"/>
    <w:rsid w:val="00355951"/>
    <w:rsid w:val="00370657"/>
    <w:rsid w:val="00482CF4"/>
    <w:rsid w:val="004869D9"/>
    <w:rsid w:val="004A3FCB"/>
    <w:rsid w:val="004E72C0"/>
    <w:rsid w:val="00517082"/>
    <w:rsid w:val="00517F7C"/>
    <w:rsid w:val="00523676"/>
    <w:rsid w:val="005252A9"/>
    <w:rsid w:val="00540501"/>
    <w:rsid w:val="005602EB"/>
    <w:rsid w:val="005731B9"/>
    <w:rsid w:val="005B1430"/>
    <w:rsid w:val="005F71DC"/>
    <w:rsid w:val="0060108E"/>
    <w:rsid w:val="0061321F"/>
    <w:rsid w:val="0062376E"/>
    <w:rsid w:val="00640FDD"/>
    <w:rsid w:val="00646B9F"/>
    <w:rsid w:val="00660AEC"/>
    <w:rsid w:val="006744EC"/>
    <w:rsid w:val="00694AC3"/>
    <w:rsid w:val="006C4D74"/>
    <w:rsid w:val="006F4E78"/>
    <w:rsid w:val="006F52C0"/>
    <w:rsid w:val="006F7098"/>
    <w:rsid w:val="006F7847"/>
    <w:rsid w:val="00703862"/>
    <w:rsid w:val="00711438"/>
    <w:rsid w:val="00753340"/>
    <w:rsid w:val="00756CDA"/>
    <w:rsid w:val="007636DE"/>
    <w:rsid w:val="00785832"/>
    <w:rsid w:val="00797000"/>
    <w:rsid w:val="007C0441"/>
    <w:rsid w:val="00816BC2"/>
    <w:rsid w:val="00830BF6"/>
    <w:rsid w:val="008476BF"/>
    <w:rsid w:val="008824F8"/>
    <w:rsid w:val="0089086B"/>
    <w:rsid w:val="008C276B"/>
    <w:rsid w:val="008D586B"/>
    <w:rsid w:val="008E5E3C"/>
    <w:rsid w:val="008E7770"/>
    <w:rsid w:val="008F364D"/>
    <w:rsid w:val="008F732B"/>
    <w:rsid w:val="009215B6"/>
    <w:rsid w:val="009420FF"/>
    <w:rsid w:val="00950F8D"/>
    <w:rsid w:val="00953DA5"/>
    <w:rsid w:val="0095657A"/>
    <w:rsid w:val="00970F2E"/>
    <w:rsid w:val="009B5F53"/>
    <w:rsid w:val="00A070FE"/>
    <w:rsid w:val="00A315D7"/>
    <w:rsid w:val="00A41595"/>
    <w:rsid w:val="00A7172B"/>
    <w:rsid w:val="00A930DC"/>
    <w:rsid w:val="00AB727C"/>
    <w:rsid w:val="00AF42C9"/>
    <w:rsid w:val="00B12C45"/>
    <w:rsid w:val="00B3040B"/>
    <w:rsid w:val="00B45A8C"/>
    <w:rsid w:val="00B45D40"/>
    <w:rsid w:val="00B72056"/>
    <w:rsid w:val="00BB18BE"/>
    <w:rsid w:val="00BC0830"/>
    <w:rsid w:val="00BC578C"/>
    <w:rsid w:val="00BD4162"/>
    <w:rsid w:val="00C0110C"/>
    <w:rsid w:val="00C04A6B"/>
    <w:rsid w:val="00C15A6F"/>
    <w:rsid w:val="00C6425D"/>
    <w:rsid w:val="00C73D15"/>
    <w:rsid w:val="00C853CF"/>
    <w:rsid w:val="00C97675"/>
    <w:rsid w:val="00CA46E2"/>
    <w:rsid w:val="00CB5D28"/>
    <w:rsid w:val="00CD683A"/>
    <w:rsid w:val="00D617D2"/>
    <w:rsid w:val="00DA272F"/>
    <w:rsid w:val="00DA7791"/>
    <w:rsid w:val="00E23369"/>
    <w:rsid w:val="00E349A2"/>
    <w:rsid w:val="00E915B6"/>
    <w:rsid w:val="00EB0F05"/>
    <w:rsid w:val="00EB57D3"/>
    <w:rsid w:val="00EE163B"/>
    <w:rsid w:val="00EE76DB"/>
    <w:rsid w:val="00F1481F"/>
    <w:rsid w:val="00F22FE4"/>
    <w:rsid w:val="00F35809"/>
    <w:rsid w:val="00F4326E"/>
    <w:rsid w:val="00F61206"/>
    <w:rsid w:val="00F63C16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A761-C329-4C5D-A8DE-DA7346F0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Simeon Glavchev</cp:lastModifiedBy>
  <cp:revision>6</cp:revision>
  <cp:lastPrinted>2016-08-08T13:17:00Z</cp:lastPrinted>
  <dcterms:created xsi:type="dcterms:W3CDTF">2016-08-12T12:45:00Z</dcterms:created>
  <dcterms:modified xsi:type="dcterms:W3CDTF">2016-08-12T12:47:00Z</dcterms:modified>
</cp:coreProperties>
</file>